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55A80F" w14:textId="77777777" w:rsidR="00785CEE" w:rsidRPr="00785CEE" w:rsidRDefault="00785CEE" w:rsidP="00785CEE">
      <w:pPr>
        <w:spacing w:line="579" w:lineRule="exact"/>
        <w:jc w:val="center"/>
        <w:rPr>
          <w:rFonts w:ascii="方正小标宋简体" w:eastAsia="方正小标宋简体" w:hAnsi="方正小标宋简体" w:cs="方正小标宋简体" w:hint="eastAsia"/>
          <w:bCs/>
          <w:sz w:val="44"/>
          <w:szCs w:val="44"/>
        </w:rPr>
      </w:pPr>
      <w:r w:rsidRPr="00785CEE">
        <w:rPr>
          <w:rFonts w:ascii="方正小标宋简体" w:eastAsia="方正小标宋简体" w:hAnsi="方正小标宋简体" w:cs="方正小标宋简体" w:hint="eastAsia"/>
          <w:bCs/>
          <w:sz w:val="44"/>
          <w:szCs w:val="44"/>
        </w:rPr>
        <w:t>军用饮食饮水供应站管理办法（修订草案）</w:t>
      </w:r>
    </w:p>
    <w:p w14:paraId="421CF682" w14:textId="77777777" w:rsidR="00785CEE" w:rsidRDefault="00785CEE" w:rsidP="00785CEE">
      <w:pPr>
        <w:spacing w:line="600" w:lineRule="exact"/>
        <w:jc w:val="center"/>
        <w:rPr>
          <w:rFonts w:ascii="方正楷体_GBK" w:eastAsia="方正楷体_GBK" w:hAnsi="方正楷体_GBK" w:cs="方正楷体_GBK" w:hint="eastAsia"/>
          <w:bCs/>
          <w:sz w:val="32"/>
          <w:szCs w:val="32"/>
        </w:rPr>
      </w:pPr>
      <w:r>
        <w:rPr>
          <w:rFonts w:ascii="方正楷体_GBK" w:eastAsia="方正楷体_GBK" w:hAnsi="方正楷体_GBK" w:cs="方正楷体_GBK" w:hint="eastAsia"/>
          <w:color w:val="000000"/>
          <w:kern w:val="0"/>
          <w:sz w:val="32"/>
          <w:szCs w:val="32"/>
        </w:rPr>
        <w:t>（征求意见稿）</w:t>
      </w:r>
    </w:p>
    <w:p w14:paraId="6C29A664" w14:textId="77777777" w:rsidR="00785CEE" w:rsidRDefault="00785CEE" w:rsidP="00785CEE">
      <w:pPr>
        <w:spacing w:line="579" w:lineRule="exact"/>
        <w:jc w:val="center"/>
        <w:rPr>
          <w:rFonts w:ascii="方正楷体_GBK" w:eastAsia="方正楷体_GBK" w:hAnsi="方正楷体_GBK" w:cs="方正楷体_GBK" w:hint="eastAsia"/>
          <w:bCs/>
          <w:sz w:val="32"/>
          <w:szCs w:val="32"/>
        </w:rPr>
      </w:pPr>
    </w:p>
    <w:p w14:paraId="14E13EB2" w14:textId="77777777" w:rsidR="00785CEE" w:rsidRDefault="00785CEE" w:rsidP="00785CEE">
      <w:pPr>
        <w:spacing w:line="560" w:lineRule="exact"/>
        <w:ind w:firstLineChars="200" w:firstLine="640"/>
        <w:rPr>
          <w:rFonts w:ascii="Times New Roman" w:eastAsia="方正仿宋_GBK" w:hAnsi="Times New Roman"/>
          <w:sz w:val="32"/>
          <w:szCs w:val="32"/>
          <w:lang w:val="en"/>
        </w:rPr>
      </w:pPr>
      <w:r>
        <w:rPr>
          <w:rFonts w:ascii="Times New Roman" w:eastAsia="方正仿宋_GBK" w:hAnsi="Times New Roman"/>
          <w:sz w:val="32"/>
          <w:szCs w:val="32"/>
          <w:lang w:val="en"/>
        </w:rPr>
        <w:t>（</w:t>
      </w:r>
      <w:r>
        <w:rPr>
          <w:rFonts w:ascii="Times New Roman" w:eastAsia="方正仿宋_GBK" w:hAnsi="Times New Roman"/>
          <w:sz w:val="32"/>
          <w:szCs w:val="32"/>
          <w:lang w:val="en"/>
        </w:rPr>
        <w:t>1989</w:t>
      </w:r>
      <w:r>
        <w:rPr>
          <w:rFonts w:ascii="Times New Roman" w:eastAsia="方正仿宋_GBK" w:hAnsi="Times New Roman"/>
          <w:sz w:val="32"/>
          <w:szCs w:val="32"/>
          <w:lang w:val="en"/>
        </w:rPr>
        <w:t>年</w:t>
      </w:r>
      <w:r>
        <w:rPr>
          <w:rFonts w:ascii="Times New Roman" w:eastAsia="方正仿宋_GBK" w:hAnsi="Times New Roman"/>
          <w:sz w:val="32"/>
          <w:szCs w:val="32"/>
          <w:lang w:val="en"/>
        </w:rPr>
        <w:t>10</w:t>
      </w:r>
      <w:r>
        <w:rPr>
          <w:rFonts w:ascii="Times New Roman" w:eastAsia="方正仿宋_GBK" w:hAnsi="Times New Roman"/>
          <w:sz w:val="32"/>
          <w:szCs w:val="32"/>
          <w:lang w:val="en"/>
        </w:rPr>
        <w:t>月</w:t>
      </w:r>
      <w:r>
        <w:rPr>
          <w:rFonts w:ascii="Times New Roman" w:eastAsia="方正仿宋_GBK" w:hAnsi="Times New Roman"/>
          <w:sz w:val="32"/>
          <w:szCs w:val="32"/>
          <w:lang w:val="en"/>
        </w:rPr>
        <w:t>4</w:t>
      </w:r>
      <w:r>
        <w:rPr>
          <w:rFonts w:ascii="Times New Roman" w:eastAsia="方正仿宋_GBK" w:hAnsi="Times New Roman"/>
          <w:sz w:val="32"/>
          <w:szCs w:val="32"/>
          <w:lang w:val="en"/>
        </w:rPr>
        <w:t>日国务院、中央军委批准</w:t>
      </w:r>
      <w:r>
        <w:rPr>
          <w:rFonts w:ascii="Times New Roman" w:eastAsia="方正仿宋_GBK" w:hAnsi="Times New Roman" w:hint="eastAsia"/>
          <w:sz w:val="32"/>
          <w:szCs w:val="32"/>
          <w:lang w:val="en"/>
        </w:rPr>
        <w:t>，</w:t>
      </w:r>
      <w:r>
        <w:rPr>
          <w:rFonts w:ascii="Times New Roman" w:eastAsia="方正仿宋_GBK" w:hAnsi="Times New Roman"/>
          <w:sz w:val="32"/>
          <w:szCs w:val="32"/>
          <w:lang w:val="en"/>
        </w:rPr>
        <w:t>1989</w:t>
      </w:r>
      <w:r>
        <w:rPr>
          <w:rFonts w:ascii="Times New Roman" w:eastAsia="方正仿宋_GBK" w:hAnsi="Times New Roman"/>
          <w:sz w:val="32"/>
          <w:szCs w:val="32"/>
          <w:lang w:val="en"/>
        </w:rPr>
        <w:t>年</w:t>
      </w:r>
      <w:r>
        <w:rPr>
          <w:rFonts w:ascii="Times New Roman" w:eastAsia="方正仿宋_GBK" w:hAnsi="Times New Roman"/>
          <w:sz w:val="32"/>
          <w:szCs w:val="32"/>
          <w:lang w:val="en"/>
        </w:rPr>
        <w:t>11</w:t>
      </w:r>
      <w:r>
        <w:rPr>
          <w:rFonts w:ascii="Times New Roman" w:eastAsia="方正仿宋_GBK" w:hAnsi="Times New Roman"/>
          <w:sz w:val="32"/>
          <w:szCs w:val="32"/>
          <w:lang w:val="en"/>
        </w:rPr>
        <w:t>月</w:t>
      </w:r>
      <w:r>
        <w:rPr>
          <w:rFonts w:ascii="Times New Roman" w:eastAsia="方正仿宋_GBK" w:hAnsi="Times New Roman"/>
          <w:sz w:val="32"/>
          <w:szCs w:val="32"/>
          <w:lang w:val="en"/>
        </w:rPr>
        <w:t>17</w:t>
      </w:r>
      <w:r>
        <w:rPr>
          <w:rFonts w:ascii="Times New Roman" w:eastAsia="方正仿宋_GBK" w:hAnsi="Times New Roman"/>
          <w:sz w:val="32"/>
          <w:szCs w:val="32"/>
          <w:lang w:val="en"/>
        </w:rPr>
        <w:t>日由民政部、总后勤部令第</w:t>
      </w:r>
      <w:r>
        <w:rPr>
          <w:rFonts w:ascii="Times New Roman" w:eastAsia="方正仿宋_GBK" w:hAnsi="Times New Roman"/>
          <w:sz w:val="32"/>
          <w:szCs w:val="32"/>
          <w:lang w:val="en"/>
        </w:rPr>
        <w:t>1</w:t>
      </w:r>
      <w:r>
        <w:rPr>
          <w:rFonts w:ascii="Times New Roman" w:eastAsia="方正仿宋_GBK" w:hAnsi="Times New Roman"/>
          <w:sz w:val="32"/>
          <w:szCs w:val="32"/>
          <w:lang w:val="en"/>
        </w:rPr>
        <w:t>号发布施行。</w:t>
      </w:r>
      <w:r>
        <w:rPr>
          <w:rFonts w:ascii="Times New Roman" w:eastAsia="方正仿宋_GBK" w:hAnsi="Times New Roman"/>
          <w:sz w:val="32"/>
          <w:szCs w:val="32"/>
        </w:rPr>
        <w:t>根据</w:t>
      </w:r>
      <w:r>
        <w:rPr>
          <w:rFonts w:ascii="Times New Roman" w:eastAsia="方正仿宋_GBK" w:hAnsi="Times New Roman"/>
          <w:sz w:val="32"/>
          <w:szCs w:val="32"/>
        </w:rPr>
        <w:t>2019</w:t>
      </w:r>
      <w:r>
        <w:rPr>
          <w:rFonts w:ascii="Times New Roman" w:eastAsia="方正仿宋_GBK" w:hAnsi="Times New Roman"/>
          <w:sz w:val="32"/>
          <w:szCs w:val="32"/>
        </w:rPr>
        <w:t>年</w:t>
      </w:r>
      <w:r>
        <w:rPr>
          <w:rFonts w:ascii="Times New Roman" w:eastAsia="方正仿宋_GBK" w:hAnsi="Times New Roman"/>
          <w:sz w:val="32"/>
          <w:szCs w:val="32"/>
        </w:rPr>
        <w:t>3</w:t>
      </w:r>
      <w:r>
        <w:rPr>
          <w:rFonts w:ascii="Times New Roman" w:eastAsia="方正仿宋_GBK" w:hAnsi="Times New Roman"/>
          <w:sz w:val="32"/>
          <w:szCs w:val="32"/>
        </w:rPr>
        <w:t>月</w:t>
      </w:r>
      <w:r>
        <w:rPr>
          <w:rFonts w:ascii="Times New Roman" w:eastAsia="方正仿宋_GBK" w:hAnsi="Times New Roman"/>
          <w:sz w:val="32"/>
          <w:szCs w:val="32"/>
        </w:rPr>
        <w:t>2</w:t>
      </w:r>
      <w:r>
        <w:rPr>
          <w:rFonts w:ascii="Times New Roman" w:eastAsia="方正仿宋_GBK" w:hAnsi="Times New Roman"/>
          <w:sz w:val="32"/>
          <w:szCs w:val="32"/>
        </w:rPr>
        <w:t>日《国务院关于修改部分行政法规的决定》修订。</w:t>
      </w:r>
      <w:r>
        <w:rPr>
          <w:rFonts w:ascii="Times New Roman" w:eastAsia="方正仿宋_GBK" w:hAnsi="Times New Roman"/>
          <w:sz w:val="32"/>
          <w:szCs w:val="32"/>
        </w:rPr>
        <w:t>202</w:t>
      </w:r>
      <w:r>
        <w:rPr>
          <w:rFonts w:ascii="Times New Roman" w:eastAsia="方正仿宋_GBK" w:hAnsi="Times New Roman" w:hint="eastAsia"/>
          <w:sz w:val="32"/>
          <w:szCs w:val="32"/>
        </w:rPr>
        <w:t>4</w:t>
      </w:r>
      <w:r>
        <w:rPr>
          <w:rFonts w:ascii="Times New Roman" w:eastAsia="方正仿宋_GBK" w:hAnsi="Times New Roman"/>
          <w:sz w:val="32"/>
          <w:szCs w:val="32"/>
        </w:rPr>
        <w:t>年Ｘ月Ｘ日</w:t>
      </w:r>
      <w:r>
        <w:rPr>
          <w:rFonts w:ascii="方正仿宋_GBK" w:eastAsia="方正仿宋_GBK" w:hAnsi="方正仿宋_GBK" w:cs="方正仿宋_GBK" w:hint="eastAsia"/>
          <w:sz w:val="32"/>
          <w:szCs w:val="32"/>
        </w:rPr>
        <w:t>经国务院</w:t>
      </w:r>
      <w:r>
        <w:rPr>
          <w:rFonts w:ascii="Times New Roman" w:eastAsia="方正仿宋_GBK" w:hAnsi="Times New Roman"/>
          <w:sz w:val="32"/>
          <w:szCs w:val="32"/>
        </w:rPr>
        <w:t>、中央军委批准施行。</w:t>
      </w:r>
      <w:r>
        <w:rPr>
          <w:rFonts w:ascii="Times New Roman" w:eastAsia="方正仿宋_GBK" w:hAnsi="Times New Roman"/>
          <w:sz w:val="32"/>
          <w:szCs w:val="32"/>
          <w:lang w:val="en"/>
        </w:rPr>
        <w:t>）</w:t>
      </w:r>
    </w:p>
    <w:p w14:paraId="202EE997"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方正仿宋_GBK" w:eastAsia="方正仿宋_GBK" w:hAnsi="方正仿宋_GBK" w:cs="方正仿宋_GBK"/>
          <w:b/>
          <w:sz w:val="32"/>
          <w:szCs w:val="32"/>
        </w:rPr>
        <w:t>第一条</w:t>
      </w:r>
      <w:r>
        <w:rPr>
          <w:rFonts w:ascii="Times New Roman" w:eastAsia="黑体" w:hAnsi="Times New Roman"/>
          <w:sz w:val="32"/>
          <w:szCs w:val="32"/>
        </w:rPr>
        <w:t>【立法目的】</w:t>
      </w:r>
      <w:r>
        <w:rPr>
          <w:rFonts w:ascii="方正仿宋_GBK" w:eastAsia="方正仿宋_GBK" w:hAnsi="方正仿宋_GBK" w:cs="方正仿宋_GBK" w:hint="eastAsia"/>
          <w:sz w:val="32"/>
          <w:szCs w:val="32"/>
        </w:rPr>
        <w:t>为了全面加强军用饮食饮水供应站（以下简称军供站）建设管理，高质量保障军队平时、战时在运输途中的饮食饮水等供应（以下简称军供任务），根据国家有关法律，制定本办法。</w:t>
      </w:r>
    </w:p>
    <w:p w14:paraId="42C3FECD" w14:textId="77777777" w:rsidR="00785CEE" w:rsidRDefault="00785CEE" w:rsidP="00785CEE">
      <w:pPr>
        <w:spacing w:line="560" w:lineRule="exact"/>
        <w:ind w:firstLineChars="200" w:firstLine="643"/>
        <w:rPr>
          <w:rFonts w:ascii="仿宋_GB2312" w:eastAsia="方正仿宋_GBK" w:hAnsi="仿宋_GB2312" w:cs="仿宋_GB2312" w:hint="eastAsia"/>
          <w:sz w:val="32"/>
          <w:szCs w:val="32"/>
        </w:rPr>
      </w:pPr>
      <w:r>
        <w:rPr>
          <w:rFonts w:ascii="方正仿宋_GBK" w:eastAsia="方正仿宋_GBK" w:hAnsi="方正仿宋_GBK" w:cs="方正仿宋_GBK"/>
          <w:b/>
          <w:sz w:val="32"/>
          <w:szCs w:val="32"/>
        </w:rPr>
        <w:t>第二条</w:t>
      </w:r>
      <w:r>
        <w:rPr>
          <w:rFonts w:ascii="Times New Roman" w:eastAsia="黑体" w:hAnsi="Times New Roman"/>
          <w:sz w:val="32"/>
          <w:szCs w:val="32"/>
        </w:rPr>
        <w:t>【军供站的性质】</w:t>
      </w:r>
      <w:r>
        <w:rPr>
          <w:rFonts w:ascii="仿宋_GB2312" w:eastAsia="方正仿宋_GBK" w:hAnsi="仿宋_GB2312" w:cs="仿宋_GB2312" w:hint="eastAsia"/>
          <w:sz w:val="32"/>
          <w:szCs w:val="32"/>
        </w:rPr>
        <w:t>军供站是各级人民政府支援过往部队的组织机构和战备设施</w:t>
      </w:r>
      <w:r>
        <w:rPr>
          <w:rFonts w:ascii="仿宋_GB2312" w:eastAsia="方正仿宋_GBK" w:hAnsi="仿宋_GB2312" w:cs="仿宋_GB2312" w:hint="eastAsia"/>
          <w:sz w:val="32"/>
          <w:szCs w:val="32"/>
        </w:rPr>
        <w:t>,</w:t>
      </w:r>
      <w:r>
        <w:rPr>
          <w:rFonts w:ascii="仿宋_GB2312" w:eastAsia="方正仿宋_GBK" w:hAnsi="仿宋_GB2312" w:cs="仿宋_GB2312" w:hint="eastAsia"/>
          <w:sz w:val="32"/>
          <w:szCs w:val="32"/>
        </w:rPr>
        <w:t>是拥军支前工作的重要阵地，是军队后勤保障和国防动员力量的有机组成。</w:t>
      </w:r>
    </w:p>
    <w:p w14:paraId="7412DA1B"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仿宋_GB2312" w:eastAsia="方正仿宋_GBK" w:hAnsi="仿宋_GB2312" w:cs="仿宋_GB2312" w:hint="eastAsia"/>
          <w:b/>
          <w:bCs/>
          <w:sz w:val="32"/>
          <w:szCs w:val="32"/>
        </w:rPr>
        <w:t>第三条</w:t>
      </w:r>
      <w:r>
        <w:rPr>
          <w:rFonts w:ascii="黑体" w:eastAsia="黑体" w:hAnsi="黑体" w:cs="黑体" w:hint="eastAsia"/>
          <w:sz w:val="32"/>
          <w:szCs w:val="32"/>
        </w:rPr>
        <w:t>【军供站的任务】</w:t>
      </w:r>
      <w:r>
        <w:rPr>
          <w:rFonts w:ascii="方正仿宋_GBK" w:eastAsia="方正仿宋_GBK" w:hAnsi="方正仿宋_GBK" w:cs="方正仿宋_GBK" w:hint="eastAsia"/>
          <w:sz w:val="32"/>
          <w:szCs w:val="32"/>
        </w:rPr>
        <w:t>军供站的主要任务是为执行作战、战备、训练、抢险救灾以及应对其他突发性事件等任务的成批过往部队、预备役人员和支前民兵民工，入伍新兵、退伍老兵等提供饮食饮水、</w:t>
      </w:r>
      <w:proofErr w:type="gramStart"/>
      <w:r>
        <w:rPr>
          <w:rFonts w:ascii="方正仿宋_GBK" w:eastAsia="方正仿宋_GBK" w:hAnsi="方正仿宋_GBK" w:cs="方正仿宋_GBK" w:hint="eastAsia"/>
          <w:sz w:val="32"/>
          <w:szCs w:val="32"/>
        </w:rPr>
        <w:t>亟缺物资</w:t>
      </w:r>
      <w:proofErr w:type="gramEnd"/>
      <w:r>
        <w:rPr>
          <w:rFonts w:ascii="方正仿宋_GBK" w:eastAsia="方正仿宋_GBK" w:hAnsi="方正仿宋_GBK" w:cs="方正仿宋_GBK" w:hint="eastAsia"/>
          <w:sz w:val="32"/>
          <w:szCs w:val="32"/>
        </w:rPr>
        <w:t>、临时休整和住宿供应以及相关勤务保障。</w:t>
      </w:r>
    </w:p>
    <w:p w14:paraId="124643A2" w14:textId="77777777" w:rsidR="00785CEE" w:rsidRDefault="00785CEE" w:rsidP="00785CEE">
      <w:pPr>
        <w:spacing w:line="560" w:lineRule="exact"/>
        <w:ind w:firstLineChars="200" w:firstLine="643"/>
        <w:rPr>
          <w:rFonts w:ascii="方正仿宋_GBK" w:eastAsia="方正仿宋_GBK" w:hAnsi="方正仿宋_GBK" w:cs="方正仿宋_GBK"/>
          <w:sz w:val="32"/>
          <w:szCs w:val="32"/>
          <w:lang w:val="en"/>
        </w:rPr>
      </w:pPr>
      <w:r>
        <w:rPr>
          <w:rFonts w:ascii="方正仿宋_GBK" w:eastAsia="方正仿宋_GBK" w:hAnsi="方正仿宋_GBK" w:cs="方正仿宋_GBK"/>
          <w:b/>
          <w:sz w:val="32"/>
          <w:szCs w:val="32"/>
        </w:rPr>
        <w:t>第四条</w:t>
      </w:r>
      <w:r>
        <w:rPr>
          <w:rFonts w:ascii="Times New Roman" w:eastAsia="黑体" w:hAnsi="Times New Roman"/>
          <w:sz w:val="32"/>
          <w:szCs w:val="32"/>
        </w:rPr>
        <w:t>【军供站的管理体制】</w:t>
      </w:r>
      <w:r>
        <w:rPr>
          <w:rFonts w:ascii="方正仿宋_GBK" w:eastAsia="方正仿宋_GBK" w:hAnsi="方正仿宋_GBK" w:cs="方正仿宋_GBK"/>
          <w:sz w:val="32"/>
          <w:szCs w:val="32"/>
          <w:lang w:val="en"/>
        </w:rPr>
        <w:t>军供站由省、自治区、直辖市人民政府根据</w:t>
      </w:r>
      <w:r>
        <w:rPr>
          <w:rFonts w:ascii="方正仿宋_GBK" w:eastAsia="方正仿宋_GBK" w:hAnsi="方正仿宋_GBK" w:cs="方正仿宋_GBK" w:hint="eastAsia"/>
          <w:sz w:val="32"/>
          <w:szCs w:val="32"/>
        </w:rPr>
        <w:t>军队有关部门提出的军事需求</w:t>
      </w:r>
      <w:r>
        <w:rPr>
          <w:rFonts w:ascii="方正仿宋_GBK" w:eastAsia="方正仿宋_GBK" w:hAnsi="方正仿宋_GBK" w:cs="方正仿宋_GBK"/>
          <w:sz w:val="32"/>
          <w:szCs w:val="32"/>
          <w:lang w:val="en"/>
        </w:rPr>
        <w:t>在铁路、公路、水路、航空沿线设置</w:t>
      </w:r>
      <w:r>
        <w:rPr>
          <w:rFonts w:ascii="方正仿宋_GBK" w:eastAsia="方正仿宋_GBK" w:hAnsi="方正仿宋_GBK" w:cs="方正仿宋_GBK" w:hint="eastAsia"/>
          <w:sz w:val="32"/>
          <w:szCs w:val="32"/>
          <w:lang w:val="en"/>
        </w:rPr>
        <w:t>，</w:t>
      </w:r>
      <w:r>
        <w:rPr>
          <w:rFonts w:ascii="方正仿宋_GBK" w:eastAsia="方正仿宋_GBK" w:hAnsi="方正仿宋_GBK" w:cs="方正仿宋_GBK" w:hint="eastAsia"/>
          <w:sz w:val="32"/>
          <w:szCs w:val="32"/>
        </w:rPr>
        <w:t>实行分级管理，分为全国重点军供站和普通军供站。</w:t>
      </w:r>
    </w:p>
    <w:p w14:paraId="2C9D6137" w14:textId="77777777" w:rsidR="00785CEE" w:rsidRDefault="00785CEE" w:rsidP="00785CEE">
      <w:pPr>
        <w:spacing w:line="560" w:lineRule="exact"/>
        <w:ind w:firstLineChars="200" w:firstLine="640"/>
        <w:rPr>
          <w:rFonts w:ascii="方正仿宋_GBK" w:eastAsia="方正仿宋_GBK" w:hAnsi="方正仿宋_GBK" w:cs="方正仿宋_GBK"/>
          <w:sz w:val="32"/>
          <w:szCs w:val="32"/>
          <w:lang w:val="en"/>
        </w:rPr>
      </w:pPr>
      <w:r>
        <w:rPr>
          <w:rFonts w:ascii="方正仿宋_GBK" w:eastAsia="方正仿宋_GBK" w:hAnsi="方正仿宋_GBK" w:cs="方正仿宋_GBK"/>
          <w:sz w:val="32"/>
          <w:szCs w:val="32"/>
          <w:lang w:val="en"/>
        </w:rPr>
        <w:t>国务院退役军人工作主管部门负责全国军供站</w:t>
      </w:r>
      <w:r>
        <w:rPr>
          <w:rFonts w:ascii="方正仿宋_GBK" w:eastAsia="方正仿宋_GBK" w:hAnsi="方正仿宋_GBK" w:cs="方正仿宋_GBK" w:hint="eastAsia"/>
          <w:sz w:val="32"/>
          <w:szCs w:val="32"/>
          <w:lang w:val="en"/>
        </w:rPr>
        <w:t>的</w:t>
      </w:r>
      <w:r>
        <w:rPr>
          <w:rFonts w:ascii="方正仿宋_GBK" w:eastAsia="方正仿宋_GBK" w:hAnsi="方正仿宋_GBK" w:cs="方正仿宋_GBK"/>
          <w:sz w:val="32"/>
          <w:szCs w:val="32"/>
          <w:lang w:val="en"/>
        </w:rPr>
        <w:t>管理工作，中央军委后勤保障部负责军供站的业务指导。</w:t>
      </w:r>
      <w:r>
        <w:rPr>
          <w:rFonts w:ascii="方正仿宋_GBK" w:eastAsia="方正仿宋_GBK" w:hAnsi="方正仿宋_GBK" w:cs="方正仿宋_GBK" w:hint="eastAsia"/>
          <w:sz w:val="32"/>
          <w:szCs w:val="32"/>
          <w:lang w:val="en"/>
        </w:rPr>
        <w:t>联勤保障部队主管部门负责指导开展军供站的业务建设。</w:t>
      </w:r>
      <w:r>
        <w:rPr>
          <w:rFonts w:ascii="方正仿宋_GBK" w:eastAsia="方正仿宋_GBK" w:hAnsi="方正仿宋_GBK" w:cs="方正仿宋_GBK"/>
          <w:sz w:val="32"/>
          <w:szCs w:val="32"/>
          <w:lang w:val="en"/>
        </w:rPr>
        <w:t>县级以上人民政府退役军</w:t>
      </w:r>
      <w:r>
        <w:rPr>
          <w:rFonts w:ascii="方正仿宋_GBK" w:eastAsia="方正仿宋_GBK" w:hAnsi="方正仿宋_GBK" w:cs="方正仿宋_GBK"/>
          <w:sz w:val="32"/>
          <w:szCs w:val="32"/>
          <w:lang w:val="en"/>
        </w:rPr>
        <w:lastRenderedPageBreak/>
        <w:t>人工作主管部门负责本行政区域军供站的管理工作。军事运输投送调度机构应当根据部队需求，及时</w:t>
      </w:r>
      <w:r>
        <w:rPr>
          <w:rFonts w:ascii="方正仿宋_GBK" w:eastAsia="方正仿宋_GBK" w:hAnsi="方正仿宋_GBK" w:cs="方正仿宋_GBK" w:hint="eastAsia"/>
          <w:sz w:val="32"/>
          <w:szCs w:val="32"/>
          <w:lang w:val="en"/>
        </w:rPr>
        <w:t>下达</w:t>
      </w:r>
      <w:r>
        <w:rPr>
          <w:rFonts w:ascii="方正仿宋_GBK" w:eastAsia="方正仿宋_GBK" w:hAnsi="方正仿宋_GBK" w:cs="方正仿宋_GBK"/>
          <w:sz w:val="32"/>
          <w:szCs w:val="32"/>
          <w:lang w:val="en"/>
        </w:rPr>
        <w:t>军供任务和提出要求，检查指导军供站做好相关工作。</w:t>
      </w:r>
    </w:p>
    <w:p w14:paraId="2CA739C6"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lang w:val="en"/>
        </w:rPr>
      </w:pPr>
      <w:r>
        <w:rPr>
          <w:rFonts w:ascii="方正仿宋_GBK" w:eastAsia="方正仿宋_GBK" w:hAnsi="方正仿宋_GBK" w:cs="方正仿宋_GBK"/>
          <w:sz w:val="32"/>
          <w:szCs w:val="32"/>
          <w:lang w:val="en"/>
        </w:rPr>
        <w:t>有军供站的县级以上人民政府组织、协调、落实有关工作。</w:t>
      </w:r>
    </w:p>
    <w:p w14:paraId="26601CA6"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方正仿宋_GBK" w:eastAsia="方正仿宋_GBK" w:hAnsi="方正仿宋_GBK" w:cs="方正仿宋_GBK"/>
          <w:b/>
          <w:sz w:val="32"/>
          <w:szCs w:val="32"/>
        </w:rPr>
        <w:t>第五条</w:t>
      </w:r>
      <w:r>
        <w:rPr>
          <w:rFonts w:ascii="Times New Roman" w:eastAsia="黑体" w:hAnsi="Times New Roman"/>
          <w:sz w:val="32"/>
          <w:szCs w:val="32"/>
        </w:rPr>
        <w:t>【军供站的设立位置】</w:t>
      </w:r>
      <w:r>
        <w:rPr>
          <w:rFonts w:ascii="方正仿宋_GBK" w:eastAsia="方正仿宋_GBK" w:hAnsi="方正仿宋_GBK" w:cs="方正仿宋_GBK" w:hint="eastAsia"/>
          <w:sz w:val="32"/>
          <w:szCs w:val="32"/>
        </w:rPr>
        <w:t>军供站根据部队运输投送保障需要以铁路、公路为主，以水路、航空为辅进行设置。军供站包括常设军供站和临时军供站（点）。常设军供站设置在主要铁路和公路干线的大站、水路的重要港口等军事运输投送繁忙地方；临时军供站（点）设置在大批或者紧急军事运输投送任务需要的车站、港口、服务区、机场等地方，任务完成后即行撤销或根据军事需要改为常设军供站。</w:t>
      </w:r>
    </w:p>
    <w:p w14:paraId="5037DD3A"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方正仿宋_GBK" w:eastAsia="方正仿宋_GBK" w:hAnsi="方正仿宋_GBK" w:cs="方正仿宋_GBK"/>
          <w:b/>
          <w:sz w:val="32"/>
          <w:szCs w:val="32"/>
        </w:rPr>
        <w:t>第六条</w:t>
      </w:r>
      <w:r>
        <w:rPr>
          <w:rFonts w:ascii="Times New Roman" w:eastAsia="黑体" w:hAnsi="Times New Roman"/>
          <w:sz w:val="32"/>
          <w:szCs w:val="32"/>
        </w:rPr>
        <w:t>【军供站的基本建设项目】</w:t>
      </w:r>
      <w:r>
        <w:rPr>
          <w:rFonts w:ascii="方正仿宋_GBK" w:eastAsia="方正仿宋_GBK" w:hAnsi="方正仿宋_GBK" w:cs="方正仿宋_GBK" w:hint="eastAsia"/>
          <w:sz w:val="32"/>
          <w:szCs w:val="32"/>
        </w:rPr>
        <w:t>常设军供站的基本建设项目应当有厨房、餐厅、仓库、锅炉房、办公室、宿舍、厕所、汽车库、平场、盥洗及食品检验设施，并根据需要设置临时休整和住宿场地。</w:t>
      </w:r>
    </w:p>
    <w:p w14:paraId="0A2EDA82"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常设军供站应当具备与完成军供任务相适应的场地、设施、设备。场地、设施、设备的标准由国务院退役军人工作主管部门会同中央军委后勤保障部制定。</w:t>
      </w:r>
    </w:p>
    <w:p w14:paraId="428157F0"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方正仿宋_GBK" w:eastAsia="方正仿宋_GBK" w:hAnsi="方正仿宋_GBK" w:cs="方正仿宋_GBK"/>
          <w:b/>
          <w:sz w:val="32"/>
          <w:szCs w:val="32"/>
        </w:rPr>
        <w:t>第七条</w:t>
      </w:r>
      <w:r>
        <w:rPr>
          <w:rFonts w:ascii="Times New Roman" w:eastAsia="黑体" w:hAnsi="Times New Roman"/>
          <w:sz w:val="32"/>
          <w:szCs w:val="32"/>
        </w:rPr>
        <w:t>【军供站的经费保障】</w:t>
      </w:r>
      <w:r>
        <w:rPr>
          <w:rFonts w:ascii="方正仿宋_GBK" w:eastAsia="方正仿宋_GBK" w:hAnsi="方正仿宋_GBK" w:cs="方正仿宋_GBK" w:hint="eastAsia"/>
          <w:sz w:val="32"/>
          <w:szCs w:val="32"/>
        </w:rPr>
        <w:t>军供站的基本建设、设施维修、设备购置和用于过往部队及保障对象接待工作的经费，军供站正式工作人员符合国家规定的工资福利支出等人员经费和公用经费，按照国家规定的开支渠道，由地方各级财政安排解决。</w:t>
      </w:r>
    </w:p>
    <w:p w14:paraId="77175A31"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中央财政通过现有渠道对全国重点军供站的维修改造、设备购置更新等给予补助，省级财政适度加大投入力度。</w:t>
      </w:r>
    </w:p>
    <w:p w14:paraId="55EBF8FE"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b/>
          <w:sz w:val="32"/>
          <w:szCs w:val="32"/>
        </w:rPr>
        <w:lastRenderedPageBreak/>
        <w:t>第八条</w:t>
      </w:r>
      <w:r>
        <w:rPr>
          <w:rFonts w:ascii="Times New Roman" w:eastAsia="黑体" w:hAnsi="Times New Roman"/>
          <w:sz w:val="32"/>
          <w:szCs w:val="32"/>
        </w:rPr>
        <w:t>【军供站的</w:t>
      </w:r>
      <w:r>
        <w:rPr>
          <w:rFonts w:ascii="黑体" w:eastAsia="黑体" w:hAnsi="黑体" w:cs="黑体" w:hint="eastAsia"/>
          <w:sz w:val="32"/>
          <w:szCs w:val="32"/>
        </w:rPr>
        <w:t>机构设置</w:t>
      </w:r>
      <w:r>
        <w:rPr>
          <w:rFonts w:ascii="Times New Roman" w:eastAsia="黑体" w:hAnsi="Times New Roman"/>
          <w:sz w:val="32"/>
          <w:szCs w:val="32"/>
        </w:rPr>
        <w:t>】</w:t>
      </w:r>
      <w:r>
        <w:rPr>
          <w:rFonts w:ascii="方正仿宋_GBK" w:eastAsia="方正仿宋_GBK" w:hAnsi="方正仿宋_GBK" w:cs="方正仿宋_GBK" w:hint="eastAsia"/>
          <w:sz w:val="32"/>
          <w:szCs w:val="32"/>
        </w:rPr>
        <w:t>常设军供站的机构设置、人员编制，由当地根据军供站的军供任务和所处战略位置的需要确定，并根据其单位性质在当地相关编制总额中解决所需编制。</w:t>
      </w:r>
    </w:p>
    <w:p w14:paraId="58BC1764"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军供站应当加强军供队伍建设，保障军供任务现有配备人员力量不足时，当地人民政府应当临时抽调人员协助工作。</w:t>
      </w:r>
    </w:p>
    <w:p w14:paraId="42DA3F7B"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b/>
          <w:sz w:val="32"/>
          <w:szCs w:val="32"/>
        </w:rPr>
        <w:t>第九条</w:t>
      </w:r>
      <w:r>
        <w:rPr>
          <w:rFonts w:ascii="Times New Roman" w:eastAsia="黑体" w:hAnsi="Times New Roman"/>
          <w:sz w:val="32"/>
          <w:szCs w:val="32"/>
        </w:rPr>
        <w:t>【军供站的建设和管理】</w:t>
      </w:r>
      <w:r>
        <w:rPr>
          <w:rFonts w:ascii="方正仿宋_GBK" w:eastAsia="方正仿宋_GBK" w:hAnsi="方正仿宋_GBK" w:cs="方正仿宋_GBK" w:hint="eastAsia"/>
          <w:sz w:val="32"/>
          <w:szCs w:val="32"/>
        </w:rPr>
        <w:t>国家在新建、改建铁路交通基础设施时，</w:t>
      </w:r>
      <w:r>
        <w:rPr>
          <w:rFonts w:ascii="方正仿宋_GBK" w:eastAsia="方正仿宋_GBK" w:hAnsi="方正仿宋_GBK" w:cs="方正仿宋_GBK" w:hint="eastAsia"/>
          <w:sz w:val="32"/>
          <w:szCs w:val="32"/>
          <w:lang w:val="en"/>
        </w:rPr>
        <w:t>国铁集团等</w:t>
      </w:r>
      <w:r>
        <w:rPr>
          <w:rFonts w:ascii="方正仿宋_GBK" w:eastAsia="方正仿宋_GBK" w:hAnsi="方正仿宋_GBK" w:cs="方正仿宋_GBK" w:hint="eastAsia"/>
          <w:sz w:val="32"/>
          <w:szCs w:val="32"/>
        </w:rPr>
        <w:t>相关部门和单位应当根据军队有关部门提出的军事需求将军供站及通信、电力等配套设施项目纳入主体工程规划之内一并修建。工程竣工经军地有关部门验收合格后，相关部门和单位应当将军供站移交给县级以上人民政府退役军人工作主管部门，由县级以上人民政府退役军人工作主管部门负责管理、使用和维护。</w:t>
      </w:r>
      <w:r>
        <w:rPr>
          <w:rFonts w:ascii="方正仿宋_GBK" w:eastAsia="方正仿宋_GBK" w:hAnsi="方正仿宋_GBK" w:cs="方正仿宋_GBK" w:hint="eastAsia"/>
          <w:sz w:val="32"/>
          <w:szCs w:val="32"/>
          <w:lang w:val="en"/>
        </w:rPr>
        <w:t>需要依托公路、港口、机场等交通基础设施新建、改建实施的军供站项目，</w:t>
      </w:r>
      <w:r>
        <w:rPr>
          <w:rFonts w:ascii="方正仿宋_GBK" w:eastAsia="方正仿宋_GBK" w:hAnsi="方正仿宋_GBK" w:cs="方正仿宋_GBK"/>
          <w:sz w:val="32"/>
          <w:szCs w:val="32"/>
          <w:lang w:val="en"/>
        </w:rPr>
        <w:t>按</w:t>
      </w:r>
      <w:r>
        <w:rPr>
          <w:rFonts w:ascii="方正仿宋_GBK" w:eastAsia="方正仿宋_GBK" w:hAnsi="方正仿宋_GBK" w:cs="方正仿宋_GBK" w:hint="eastAsia"/>
          <w:sz w:val="32"/>
          <w:szCs w:val="32"/>
          <w:lang w:val="en"/>
        </w:rPr>
        <w:t>照有关</w:t>
      </w:r>
      <w:r>
        <w:rPr>
          <w:rFonts w:ascii="方正仿宋_GBK" w:eastAsia="方正仿宋_GBK" w:hAnsi="方正仿宋_GBK" w:cs="方正仿宋_GBK"/>
          <w:sz w:val="32"/>
          <w:szCs w:val="32"/>
          <w:lang w:val="en"/>
        </w:rPr>
        <w:t>程序</w:t>
      </w:r>
      <w:r>
        <w:rPr>
          <w:rFonts w:ascii="方正仿宋_GBK" w:eastAsia="方正仿宋_GBK" w:hAnsi="方正仿宋_GBK" w:cs="方正仿宋_GBK" w:hint="eastAsia"/>
          <w:sz w:val="32"/>
          <w:szCs w:val="32"/>
          <w:lang w:val="en"/>
        </w:rPr>
        <w:t>单独建设或与主体工程同步建设，符合条件的必要经费由地方各级人民政府按照国家规定的开支渠道予以安排。</w:t>
      </w:r>
    </w:p>
    <w:p w14:paraId="49C21797" w14:textId="77777777" w:rsidR="00785CEE" w:rsidRDefault="00785CEE" w:rsidP="00785CEE">
      <w:pPr>
        <w:spacing w:line="560" w:lineRule="exact"/>
        <w:ind w:firstLineChars="200" w:firstLine="640"/>
        <w:jc w:val="left"/>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常设军供站的迁建、新建或者撤销、合并，由各级退役军人工作主管部门和军事运输投送调度机构审核后，逐级报至国务院退役军人工作主管部门和中央军委后勤保障部相关职能部门批准，涉及机构编制事项，按规定权限和程序</w:t>
      </w:r>
      <w:proofErr w:type="gramStart"/>
      <w:r>
        <w:rPr>
          <w:rFonts w:ascii="方正仿宋_GBK" w:eastAsia="方正仿宋_GBK" w:hAnsi="方正仿宋_GBK" w:cs="方正仿宋_GBK" w:hint="eastAsia"/>
          <w:sz w:val="32"/>
          <w:szCs w:val="32"/>
        </w:rPr>
        <w:t>报机构</w:t>
      </w:r>
      <w:proofErr w:type="gramEnd"/>
      <w:r>
        <w:rPr>
          <w:rFonts w:ascii="方正仿宋_GBK" w:eastAsia="方正仿宋_GBK" w:hAnsi="方正仿宋_GBK" w:cs="方正仿宋_GBK" w:hint="eastAsia"/>
          <w:sz w:val="32"/>
          <w:szCs w:val="32"/>
        </w:rPr>
        <w:t>编制部门审批。</w:t>
      </w:r>
    </w:p>
    <w:p w14:paraId="360FE7C1"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b/>
          <w:sz w:val="32"/>
          <w:szCs w:val="32"/>
        </w:rPr>
        <w:t>第十条</w:t>
      </w:r>
      <w:r>
        <w:rPr>
          <w:rFonts w:ascii="Times New Roman" w:eastAsia="黑体" w:hAnsi="Times New Roman"/>
          <w:sz w:val="32"/>
          <w:szCs w:val="32"/>
        </w:rPr>
        <w:t>【军供站的任务下达】</w:t>
      </w:r>
      <w:r>
        <w:rPr>
          <w:rFonts w:ascii="方正仿宋_GBK" w:eastAsia="方正仿宋_GBK" w:hAnsi="方正仿宋_GBK" w:cs="方正仿宋_GBK" w:hint="eastAsia"/>
          <w:sz w:val="32"/>
          <w:szCs w:val="32"/>
        </w:rPr>
        <w:t>在有军供任务时，军事运输投送调度机构应当向军供站预先通报供应任务和注意事项，并指定专人与军供站保持联系。必要时，应当派遣军事代表常驻军供站协助工作。</w:t>
      </w:r>
    </w:p>
    <w:p w14:paraId="1B3AA02C"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方正仿宋_GBK" w:eastAsia="方正仿宋_GBK" w:hAnsi="方正仿宋_GBK" w:cs="方正仿宋_GBK"/>
          <w:b/>
          <w:sz w:val="32"/>
          <w:szCs w:val="32"/>
        </w:rPr>
        <w:lastRenderedPageBreak/>
        <w:t>第十一条</w:t>
      </w:r>
      <w:r>
        <w:rPr>
          <w:rFonts w:ascii="Times New Roman" w:eastAsia="黑体" w:hAnsi="Times New Roman"/>
          <w:sz w:val="32"/>
          <w:szCs w:val="32"/>
        </w:rPr>
        <w:t>【</w:t>
      </w:r>
      <w:r>
        <w:rPr>
          <w:rFonts w:ascii="Times New Roman" w:eastAsia="黑体" w:hAnsi="Times New Roman" w:hint="eastAsia"/>
          <w:sz w:val="32"/>
          <w:szCs w:val="32"/>
        </w:rPr>
        <w:t>创新</w:t>
      </w:r>
      <w:r>
        <w:rPr>
          <w:rFonts w:ascii="Times New Roman" w:eastAsia="黑体" w:hAnsi="Times New Roman"/>
          <w:sz w:val="32"/>
          <w:szCs w:val="32"/>
        </w:rPr>
        <w:t>保障方式】</w:t>
      </w:r>
      <w:r>
        <w:rPr>
          <w:rFonts w:ascii="方正仿宋_GBK" w:eastAsia="方正仿宋_GBK" w:hAnsi="方正仿宋_GBK" w:cs="方正仿宋_GBK" w:hint="eastAsia"/>
          <w:sz w:val="32"/>
          <w:szCs w:val="32"/>
        </w:rPr>
        <w:t>省级人民政府应当统筹军供资源</w:t>
      </w:r>
      <w:r>
        <w:rPr>
          <w:rFonts w:ascii="方正仿宋_GBK" w:eastAsia="方正仿宋_GBK" w:hAnsi="方正仿宋_GBK" w:cs="方正仿宋_GBK" w:hint="eastAsia"/>
          <w:sz w:val="32"/>
          <w:szCs w:val="32"/>
          <w:lang w:val="en"/>
        </w:rPr>
        <w:t>，优化组织程序，</w:t>
      </w:r>
      <w:r>
        <w:rPr>
          <w:rFonts w:ascii="方正仿宋_GBK" w:eastAsia="方正仿宋_GBK" w:hAnsi="方正仿宋_GBK" w:cs="方正仿宋_GBK" w:hint="eastAsia"/>
          <w:sz w:val="32"/>
          <w:szCs w:val="32"/>
        </w:rPr>
        <w:t>组建功能完善、集约高效的野战型军供站，相应配备送餐车、保温车、野战</w:t>
      </w:r>
      <w:proofErr w:type="gramStart"/>
      <w:r>
        <w:rPr>
          <w:rFonts w:ascii="方正仿宋_GBK" w:eastAsia="方正仿宋_GBK" w:hAnsi="方正仿宋_GBK" w:cs="方正仿宋_GBK" w:hint="eastAsia"/>
          <w:sz w:val="32"/>
          <w:szCs w:val="32"/>
        </w:rPr>
        <w:t>制炊等</w:t>
      </w:r>
      <w:proofErr w:type="gramEnd"/>
      <w:r>
        <w:rPr>
          <w:rFonts w:ascii="方正仿宋_GBK" w:eastAsia="方正仿宋_GBK" w:hAnsi="方正仿宋_GBK" w:cs="方正仿宋_GBK" w:hint="eastAsia"/>
          <w:sz w:val="32"/>
          <w:szCs w:val="32"/>
        </w:rPr>
        <w:t>设备，建立应急式、机动化、野战</w:t>
      </w:r>
      <w:proofErr w:type="gramStart"/>
      <w:r>
        <w:rPr>
          <w:rFonts w:ascii="方正仿宋_GBK" w:eastAsia="方正仿宋_GBK" w:hAnsi="方正仿宋_GBK" w:cs="方正仿宋_GBK" w:hint="eastAsia"/>
          <w:sz w:val="32"/>
          <w:szCs w:val="32"/>
        </w:rPr>
        <w:t>型保障</w:t>
      </w:r>
      <w:proofErr w:type="gramEnd"/>
      <w:r>
        <w:rPr>
          <w:rFonts w:ascii="方正仿宋_GBK" w:eastAsia="方正仿宋_GBK" w:hAnsi="方正仿宋_GBK" w:cs="方正仿宋_GBK" w:hint="eastAsia"/>
          <w:sz w:val="32"/>
          <w:szCs w:val="32"/>
        </w:rPr>
        <w:t>新模式。</w:t>
      </w:r>
    </w:p>
    <w:p w14:paraId="331F6F48"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相邻省份退役军人工作主管部门、军事运输投送调度机构应当加强沟通协作，建立区域军供协调机制，探索跨省域</w:t>
      </w:r>
      <w:proofErr w:type="gramStart"/>
      <w:r>
        <w:rPr>
          <w:rFonts w:ascii="方正仿宋_GBK" w:eastAsia="方正仿宋_GBK" w:hAnsi="方正仿宋_GBK" w:cs="方正仿宋_GBK" w:hint="eastAsia"/>
          <w:sz w:val="32"/>
          <w:szCs w:val="32"/>
        </w:rPr>
        <w:t>联动保障</w:t>
      </w:r>
      <w:proofErr w:type="gramEnd"/>
      <w:r>
        <w:rPr>
          <w:rFonts w:ascii="方正仿宋_GBK" w:eastAsia="方正仿宋_GBK" w:hAnsi="方正仿宋_GBK" w:cs="方正仿宋_GBK" w:hint="eastAsia"/>
          <w:sz w:val="32"/>
          <w:szCs w:val="32"/>
        </w:rPr>
        <w:t>新途径。</w:t>
      </w:r>
    </w:p>
    <w:p w14:paraId="57FCF8F1"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b/>
          <w:sz w:val="32"/>
          <w:szCs w:val="32"/>
        </w:rPr>
        <w:t>第十二条</w:t>
      </w:r>
      <w:r>
        <w:rPr>
          <w:rFonts w:ascii="Times New Roman" w:eastAsia="黑体" w:hAnsi="Times New Roman"/>
          <w:sz w:val="32"/>
          <w:szCs w:val="32"/>
        </w:rPr>
        <w:t>【军供站的现代化建设】</w:t>
      </w:r>
      <w:r>
        <w:rPr>
          <w:rFonts w:ascii="方正仿宋_GBK" w:eastAsia="方正仿宋_GBK" w:hAnsi="方正仿宋_GBK" w:cs="方正仿宋_GBK" w:hint="eastAsia"/>
          <w:sz w:val="32"/>
          <w:szCs w:val="32"/>
        </w:rPr>
        <w:t>军供站应当开展以提高自身军供保障能力为核心的正规化和信息化建设，实现工作标准化、制度化、智能化；加强应急保障力量建设，定期开展应急保障训练和演练，不断提高应急应战和快速保障能力。</w:t>
      </w:r>
    </w:p>
    <w:p w14:paraId="1EE722F3" w14:textId="77777777" w:rsidR="00785CEE" w:rsidRDefault="00785CEE" w:rsidP="00785CEE">
      <w:pPr>
        <w:pStyle w:val="a3"/>
        <w:shd w:val="clear" w:color="auto" w:fill="FFFFFF"/>
        <w:spacing w:before="0" w:beforeAutospacing="0" w:after="0" w:afterAutospacing="0" w:line="560" w:lineRule="exact"/>
        <w:ind w:firstLineChars="200" w:firstLine="643"/>
        <w:jc w:val="both"/>
        <w:rPr>
          <w:rFonts w:ascii="方正仿宋_GBK" w:eastAsia="方正仿宋_GBK" w:hAnsi="方正仿宋_GBK" w:cs="方正仿宋_GBK" w:hint="eastAsia"/>
          <w:kern w:val="2"/>
          <w:sz w:val="32"/>
          <w:szCs w:val="32"/>
        </w:rPr>
      </w:pPr>
      <w:r>
        <w:rPr>
          <w:rFonts w:ascii="Times New Roman" w:eastAsia="方正仿宋_GBK" w:hAnsi="Times New Roman"/>
          <w:b/>
          <w:sz w:val="32"/>
          <w:szCs w:val="32"/>
        </w:rPr>
        <w:t>第十三条</w:t>
      </w:r>
      <w:r>
        <w:rPr>
          <w:rFonts w:ascii="Times New Roman" w:eastAsia="黑体" w:hAnsi="Times New Roman"/>
          <w:sz w:val="32"/>
          <w:szCs w:val="32"/>
        </w:rPr>
        <w:t>【军供工作的基本要求】</w:t>
      </w:r>
      <w:r>
        <w:rPr>
          <w:rFonts w:ascii="方正仿宋_GBK" w:eastAsia="方正仿宋_GBK" w:hAnsi="方正仿宋_GBK" w:cs="方正仿宋_GBK" w:hint="eastAsia"/>
          <w:kern w:val="2"/>
          <w:sz w:val="32"/>
          <w:szCs w:val="32"/>
        </w:rPr>
        <w:t>军供</w:t>
      </w:r>
      <w:proofErr w:type="gramStart"/>
      <w:r>
        <w:rPr>
          <w:rFonts w:ascii="方正仿宋_GBK" w:eastAsia="方正仿宋_GBK" w:hAnsi="方正仿宋_GBK" w:cs="方正仿宋_GBK" w:hint="eastAsia"/>
          <w:kern w:val="2"/>
          <w:sz w:val="32"/>
          <w:szCs w:val="32"/>
        </w:rPr>
        <w:t>站供应</w:t>
      </w:r>
      <w:proofErr w:type="gramEnd"/>
      <w:r>
        <w:rPr>
          <w:rFonts w:ascii="方正仿宋_GBK" w:eastAsia="方正仿宋_GBK" w:hAnsi="方正仿宋_GBK" w:cs="方正仿宋_GBK" w:hint="eastAsia"/>
          <w:kern w:val="2"/>
          <w:sz w:val="32"/>
          <w:szCs w:val="32"/>
        </w:rPr>
        <w:t>工作应当符合下列基本要求：</w:t>
      </w:r>
    </w:p>
    <w:p w14:paraId="24347F3F"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（一）根据供应通报和军事代表要求，做好服务保障，做到安全、保密、及时、准确、优质、足量供应；</w:t>
      </w:r>
    </w:p>
    <w:p w14:paraId="0D026BDB"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（二）根据国家法律、法规，做好饮食饮水和物资的检验、检疫和留样等工作，防止食物中毒；</w:t>
      </w:r>
    </w:p>
    <w:p w14:paraId="30F06D7A"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贯彻勤俭办事精神，厉行节约，反对铺张浪费，并建立严格的财务制度和物资管理制度，防止贪污、盗窃和挪用供应部队的物资等违法行为。每次供应任务完成后，军供站应当按照相关标准核收伙食费等费用；</w:t>
      </w:r>
    </w:p>
    <w:p w14:paraId="12A4AEA6" w14:textId="77777777" w:rsidR="00785CEE" w:rsidRDefault="00785CEE" w:rsidP="00785CEE">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w:t>
      </w:r>
      <w:r>
        <w:rPr>
          <w:rFonts w:ascii="方正仿宋_GBK" w:eastAsia="方正仿宋_GBK" w:hAnsi="方正仿宋_GBK" w:cs="方正仿宋_GBK"/>
          <w:sz w:val="32"/>
          <w:szCs w:val="32"/>
        </w:rPr>
        <w:t>根据有关法律、法规，健全保密工作制度，加强单位内部安全保卫工作</w:t>
      </w:r>
      <w:r>
        <w:rPr>
          <w:rFonts w:ascii="方正仿宋_GBK" w:eastAsia="方正仿宋_GBK" w:hAnsi="方正仿宋_GBK" w:cs="方正仿宋_GBK" w:hint="eastAsia"/>
          <w:sz w:val="32"/>
          <w:szCs w:val="32"/>
        </w:rPr>
        <w:t>，做好</w:t>
      </w:r>
      <w:r>
        <w:rPr>
          <w:rFonts w:ascii="方正仿宋_GBK" w:eastAsia="方正仿宋_GBK" w:hAnsi="方正仿宋_GBK" w:cs="方正仿宋_GBK"/>
          <w:sz w:val="32"/>
          <w:szCs w:val="32"/>
        </w:rPr>
        <w:t>人员思想教育和业务培训</w:t>
      </w:r>
      <w:r>
        <w:rPr>
          <w:rFonts w:ascii="方正仿宋_GBK" w:eastAsia="方正仿宋_GBK" w:hAnsi="方正仿宋_GBK" w:cs="方正仿宋_GBK" w:hint="eastAsia"/>
          <w:sz w:val="32"/>
          <w:szCs w:val="32"/>
        </w:rPr>
        <w:t>。</w:t>
      </w:r>
    </w:p>
    <w:p w14:paraId="52CCDB2A"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b/>
          <w:sz w:val="32"/>
          <w:szCs w:val="32"/>
        </w:rPr>
        <w:t>第十四条</w:t>
      </w:r>
      <w:r>
        <w:rPr>
          <w:rFonts w:ascii="Times New Roman" w:eastAsia="黑体" w:hAnsi="Times New Roman"/>
          <w:sz w:val="32"/>
          <w:szCs w:val="32"/>
        </w:rPr>
        <w:t>【相关部门职责】</w:t>
      </w:r>
      <w:r>
        <w:rPr>
          <w:rFonts w:ascii="方正仿宋_GBK" w:eastAsia="方正仿宋_GBK" w:hAnsi="方正仿宋_GBK" w:cs="方正仿宋_GBK" w:hint="eastAsia"/>
          <w:sz w:val="32"/>
          <w:szCs w:val="32"/>
        </w:rPr>
        <w:t>有军供站的县级以上人民政府有关</w:t>
      </w:r>
      <w:r>
        <w:rPr>
          <w:rFonts w:ascii="方正仿宋_GBK" w:eastAsia="方正仿宋_GBK" w:hAnsi="方正仿宋_GBK" w:cs="方正仿宋_GBK" w:hint="eastAsia"/>
          <w:sz w:val="32"/>
          <w:szCs w:val="32"/>
        </w:rPr>
        <w:lastRenderedPageBreak/>
        <w:t>部门负责做好下列工作：</w:t>
      </w:r>
    </w:p>
    <w:p w14:paraId="1800B154"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农业农村、商务、粮食和物资储备部门负责做好军供主副食材、生活用品、设备、器具等物资供应的协调保障工作。</w:t>
      </w:r>
    </w:p>
    <w:p w14:paraId="6D9F9989"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食品安全监督管理和相关职能部门负责过往部队的饮食饮水检验工作。</w:t>
      </w:r>
    </w:p>
    <w:p w14:paraId="1ED21B8D"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铁路、通信和城市供电、供水、供气、供暖等部门和行业负责保障军供站的通信、水、电、气、暖等供应，并按当地居民生活类价格执行。</w:t>
      </w:r>
    </w:p>
    <w:p w14:paraId="7D77B095"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交通运输部门依托铁路、公路、水运、航空设施依法推进军供站建设，保证军供车辆优先通行。</w:t>
      </w:r>
    </w:p>
    <w:p w14:paraId="73BE4574"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公安部门负责维护军供站周边治安和交通秩序，依法指导、监督军供站内部治安保卫工作，打击危害军供站安全的违法犯罪活动。</w:t>
      </w:r>
    </w:p>
    <w:p w14:paraId="657B60C2"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驻地军队医院、优抚医院以及地方人民政府指定医疗机构负责过往部队伤病员的急救工作，收治滞留在军供站不能随部队行动的伤病员，所发生费用由伤病员所在单位按规定审核结算。</w:t>
      </w:r>
    </w:p>
    <w:p w14:paraId="493BE8CA" w14:textId="77777777" w:rsidR="00785CEE" w:rsidRDefault="00785CEE" w:rsidP="00785CEE">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相关政府部门和企事业单位应当为进场建设和维护相关设施提供便利，不得收取不合理费用。</w:t>
      </w:r>
    </w:p>
    <w:p w14:paraId="1A5E5FF5"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b/>
          <w:sz w:val="32"/>
          <w:szCs w:val="32"/>
        </w:rPr>
        <w:t>第十五条</w:t>
      </w:r>
      <w:r>
        <w:rPr>
          <w:rFonts w:ascii="Times New Roman" w:eastAsia="黑体" w:hAnsi="Times New Roman"/>
          <w:sz w:val="32"/>
          <w:szCs w:val="32"/>
        </w:rPr>
        <w:t>【对部队的要求】</w:t>
      </w:r>
      <w:r>
        <w:rPr>
          <w:rFonts w:ascii="方正仿宋_GBK" w:eastAsia="方正仿宋_GBK" w:hAnsi="方正仿宋_GBK" w:cs="方正仿宋_GBK" w:hint="eastAsia"/>
          <w:sz w:val="32"/>
          <w:szCs w:val="32"/>
        </w:rPr>
        <w:t>部队应当尊重地方工作人员，遵守军供站的供应制度和规定，凭供应通报就餐，并按规定交付伙食费等相关费用。损坏餐具等物品应当照价赔偿。</w:t>
      </w:r>
    </w:p>
    <w:p w14:paraId="3193F3ED" w14:textId="77777777" w:rsidR="00785CEE" w:rsidRDefault="00785CEE" w:rsidP="00785CEE">
      <w:pPr>
        <w:spacing w:line="560" w:lineRule="exact"/>
        <w:ind w:firstLineChars="200" w:firstLine="643"/>
        <w:rPr>
          <w:rFonts w:ascii="Times New Roman" w:eastAsia="方正仿宋_GBK" w:hAnsi="Times New Roman" w:hint="eastAsia"/>
          <w:sz w:val="32"/>
          <w:szCs w:val="32"/>
        </w:rPr>
      </w:pPr>
      <w:r>
        <w:rPr>
          <w:rFonts w:ascii="Times New Roman" w:eastAsia="方正仿宋_GBK" w:hAnsi="Times New Roman"/>
          <w:b/>
          <w:sz w:val="32"/>
          <w:szCs w:val="32"/>
        </w:rPr>
        <w:t>第十六条</w:t>
      </w:r>
      <w:r>
        <w:rPr>
          <w:rFonts w:ascii="Times New Roman" w:eastAsia="黑体" w:hAnsi="Times New Roman"/>
          <w:sz w:val="32"/>
          <w:szCs w:val="32"/>
        </w:rPr>
        <w:t>【军供站的平战结合】</w:t>
      </w:r>
      <w:r>
        <w:rPr>
          <w:rFonts w:ascii="Times New Roman" w:eastAsia="方正仿宋_GBK" w:hAnsi="Times New Roman" w:hint="eastAsia"/>
          <w:sz w:val="32"/>
          <w:szCs w:val="32"/>
        </w:rPr>
        <w:t>军供站在保证完成军供任务的前提下，实行平战结合，可以利用现有设施，为部队服务，为社会服务。</w:t>
      </w:r>
    </w:p>
    <w:p w14:paraId="14018E3D" w14:textId="77777777" w:rsidR="00785CEE" w:rsidRDefault="00785CEE" w:rsidP="00785CEE">
      <w:pPr>
        <w:pStyle w:val="a3"/>
        <w:shd w:val="clear" w:color="auto" w:fill="FFFFFF"/>
        <w:spacing w:before="0" w:beforeAutospacing="0" w:after="0" w:afterAutospacing="0" w:line="560" w:lineRule="exact"/>
        <w:ind w:firstLineChars="200" w:firstLine="643"/>
        <w:jc w:val="both"/>
        <w:rPr>
          <w:rFonts w:ascii="方正仿宋_GBK" w:eastAsia="方正仿宋_GBK" w:hAnsi="方正仿宋_GBK" w:cs="方正仿宋_GBK" w:hint="eastAsia"/>
          <w:kern w:val="2"/>
          <w:sz w:val="32"/>
          <w:szCs w:val="32"/>
        </w:rPr>
      </w:pPr>
      <w:r>
        <w:rPr>
          <w:rFonts w:ascii="方正仿宋_GBK" w:eastAsia="方正仿宋_GBK" w:hAnsi="方正仿宋_GBK" w:cs="方正仿宋_GBK"/>
          <w:b/>
          <w:sz w:val="32"/>
          <w:szCs w:val="32"/>
        </w:rPr>
        <w:lastRenderedPageBreak/>
        <w:t>第十七条</w:t>
      </w:r>
      <w:r>
        <w:rPr>
          <w:rFonts w:ascii="Times New Roman" w:eastAsia="黑体" w:hAnsi="Times New Roman"/>
          <w:sz w:val="32"/>
          <w:szCs w:val="32"/>
        </w:rPr>
        <w:t>【应急保障机制】</w:t>
      </w:r>
      <w:r>
        <w:rPr>
          <w:rFonts w:ascii="方正仿宋_GBK" w:eastAsia="方正仿宋_GBK" w:hAnsi="方正仿宋_GBK" w:cs="方正仿宋_GBK" w:hint="eastAsia"/>
          <w:kern w:val="2"/>
          <w:sz w:val="32"/>
          <w:szCs w:val="32"/>
        </w:rPr>
        <w:t>军供站所在地的县级以上人民政府应当适应国防动员和保障任务需要，制定军供应</w:t>
      </w:r>
      <w:proofErr w:type="gramStart"/>
      <w:r>
        <w:rPr>
          <w:rFonts w:ascii="方正仿宋_GBK" w:eastAsia="方正仿宋_GBK" w:hAnsi="方正仿宋_GBK" w:cs="方正仿宋_GBK" w:hint="eastAsia"/>
          <w:kern w:val="2"/>
          <w:sz w:val="32"/>
          <w:szCs w:val="32"/>
        </w:rPr>
        <w:t>急保障</w:t>
      </w:r>
      <w:proofErr w:type="gramEnd"/>
      <w:r>
        <w:rPr>
          <w:rFonts w:ascii="方正仿宋_GBK" w:eastAsia="方正仿宋_GBK" w:hAnsi="方正仿宋_GBK" w:cs="方正仿宋_GBK" w:hint="eastAsia"/>
          <w:kern w:val="2"/>
          <w:sz w:val="32"/>
          <w:szCs w:val="32"/>
        </w:rPr>
        <w:t>预案，建立完善应急供应保障网络，必要时动员、组织社会力量实施共同保障。</w:t>
      </w:r>
    </w:p>
    <w:p w14:paraId="1ABA640C" w14:textId="77777777" w:rsidR="00785CEE" w:rsidRDefault="00785CEE" w:rsidP="00785CEE">
      <w:pPr>
        <w:spacing w:line="560" w:lineRule="exact"/>
        <w:ind w:firstLineChars="200" w:firstLine="643"/>
        <w:rPr>
          <w:rFonts w:ascii="方正仿宋_GBK" w:eastAsia="方正仿宋_GBK" w:hAnsi="方正仿宋_GBK" w:cs="方正仿宋_GBK" w:hint="eastAsia"/>
          <w:sz w:val="32"/>
          <w:szCs w:val="32"/>
        </w:rPr>
      </w:pPr>
      <w:r>
        <w:rPr>
          <w:rFonts w:ascii="方正仿宋_GBK" w:eastAsia="方正仿宋_GBK" w:hAnsi="方正仿宋_GBK" w:cs="方正仿宋_GBK"/>
          <w:b/>
          <w:sz w:val="32"/>
          <w:szCs w:val="32"/>
        </w:rPr>
        <w:t>第十八条</w:t>
      </w:r>
      <w:r>
        <w:rPr>
          <w:rFonts w:ascii="Times New Roman" w:eastAsia="黑体" w:hAnsi="Times New Roman"/>
          <w:sz w:val="32"/>
          <w:szCs w:val="32"/>
        </w:rPr>
        <w:t>【奖惩】</w:t>
      </w:r>
      <w:r>
        <w:rPr>
          <w:rFonts w:ascii="方正仿宋_GBK" w:eastAsia="方正仿宋_GBK" w:hAnsi="方正仿宋_GBK" w:cs="方正仿宋_GBK" w:hint="eastAsia"/>
          <w:sz w:val="32"/>
          <w:szCs w:val="32"/>
        </w:rPr>
        <w:t>对在军供工作中做出突出成绩的单位和个人，应当按照国家和军队有关规定给予表彰奖励。</w:t>
      </w:r>
    </w:p>
    <w:p w14:paraId="7B9CE870" w14:textId="77777777" w:rsidR="00785CEE" w:rsidRDefault="00785CEE" w:rsidP="00785CEE">
      <w:pPr>
        <w:spacing w:line="560" w:lineRule="exact"/>
        <w:ind w:firstLineChars="200" w:firstLine="640"/>
        <w:rPr>
          <w:rFonts w:ascii="Times New Roman" w:eastAsia="方正仿宋_GBK" w:hAnsi="Times New Roman" w:hint="eastAsia"/>
          <w:sz w:val="32"/>
          <w:szCs w:val="32"/>
        </w:rPr>
      </w:pPr>
      <w:r>
        <w:rPr>
          <w:rFonts w:ascii="方正仿宋_GBK" w:eastAsia="方正仿宋_GBK" w:hAnsi="方正仿宋_GBK" w:cs="方正仿宋_GBK" w:hint="eastAsia"/>
          <w:sz w:val="32"/>
          <w:szCs w:val="32"/>
        </w:rPr>
        <w:t>对违反法律法规和本办法规定、影响完成军供任务的，追究有关单位和人员的责任；构成犯罪的，依法追究刑事责任。</w:t>
      </w:r>
    </w:p>
    <w:p w14:paraId="4D8E06D9" w14:textId="77777777" w:rsidR="00785CEE" w:rsidRDefault="00785CEE" w:rsidP="00785CEE">
      <w:pPr>
        <w:spacing w:line="560" w:lineRule="exact"/>
        <w:ind w:firstLineChars="200" w:firstLine="643"/>
        <w:rPr>
          <w:rFonts w:ascii="Times New Roman" w:eastAsia="方正仿宋_GBK" w:hAnsi="Times New Roman"/>
          <w:sz w:val="32"/>
          <w:szCs w:val="32"/>
          <w:lang w:val="en"/>
        </w:rPr>
      </w:pPr>
      <w:r>
        <w:rPr>
          <w:rFonts w:ascii="Times New Roman" w:eastAsia="方正仿宋_GBK" w:hAnsi="Times New Roman"/>
          <w:b/>
          <w:sz w:val="32"/>
          <w:szCs w:val="32"/>
        </w:rPr>
        <w:t>第十九条</w:t>
      </w:r>
      <w:r>
        <w:rPr>
          <w:rFonts w:ascii="Times New Roman" w:eastAsia="黑体" w:hAnsi="Times New Roman"/>
          <w:sz w:val="32"/>
          <w:szCs w:val="32"/>
        </w:rPr>
        <w:t>【施行日期】</w:t>
      </w:r>
      <w:r>
        <w:rPr>
          <w:rFonts w:ascii="Times New Roman" w:eastAsia="方正仿宋_GBK" w:hAnsi="Times New Roman"/>
          <w:sz w:val="32"/>
          <w:szCs w:val="32"/>
        </w:rPr>
        <w:t>本办法自发布之日起施行。</w:t>
      </w:r>
    </w:p>
    <w:p w14:paraId="618585C1" w14:textId="77777777" w:rsidR="00E4668A" w:rsidRPr="00785CEE" w:rsidRDefault="00E4668A">
      <w:pPr>
        <w:rPr>
          <w:lang w:val="en"/>
        </w:rPr>
      </w:pPr>
    </w:p>
    <w:sectPr w:rsidR="00E4668A" w:rsidRPr="00785CEE" w:rsidSect="00785CEE">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CEE"/>
    <w:rsid w:val="00785CEE"/>
    <w:rsid w:val="007B784F"/>
    <w:rsid w:val="00AE2720"/>
    <w:rsid w:val="00CD550C"/>
    <w:rsid w:val="00E4668A"/>
    <w:rsid w:val="00EF3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8B667"/>
  <w15:chartTrackingRefBased/>
  <w15:docId w15:val="{9E303DBB-3B50-4EE7-BC52-26A0BD212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5CEE"/>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85CEE"/>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455</Words>
  <Characters>2600</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姜波</dc:creator>
  <cp:keywords/>
  <dc:description/>
  <cp:lastModifiedBy>姜波</cp:lastModifiedBy>
  <cp:revision>1</cp:revision>
  <dcterms:created xsi:type="dcterms:W3CDTF">2024-06-13T02:01:00Z</dcterms:created>
  <dcterms:modified xsi:type="dcterms:W3CDTF">2024-06-13T02:07:00Z</dcterms:modified>
</cp:coreProperties>
</file>